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4E" w:rsidRDefault="00C45EFB" w:rsidP="007D2A4E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Cs/>
          <w:spacing w:val="-3"/>
        </w:rPr>
        <w:t xml:space="preserve">The Health and Other Legislation Amendment Bill 2016 (the Bill) makes legislative amendments to a range of health portfolio Acts to support the implementation of policy initiatives to protect and improve the health of Queenslanders, and to improve the operation of </w:t>
      </w:r>
      <w:r w:rsidR="005D7462">
        <w:rPr>
          <w:rFonts w:ascii="Arial" w:hAnsi="Arial" w:cs="Arial"/>
          <w:bCs/>
          <w:spacing w:val="-3"/>
        </w:rPr>
        <w:t>the</w:t>
      </w:r>
      <w:r>
        <w:rPr>
          <w:rFonts w:ascii="Arial" w:hAnsi="Arial" w:cs="Arial"/>
          <w:bCs/>
          <w:spacing w:val="-3"/>
        </w:rPr>
        <w:t xml:space="preserve"> Acts. </w:t>
      </w:r>
    </w:p>
    <w:p w:rsidR="00C45EFB" w:rsidRPr="00DE058A" w:rsidRDefault="00C45EFB" w:rsidP="007D2A4E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57" w:hanging="357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The Bill amends:</w:t>
      </w:r>
    </w:p>
    <w:p w:rsidR="00C45EFB" w:rsidRPr="00DE058A" w:rsidRDefault="00C45EFB" w:rsidP="00C45EFB">
      <w:pPr>
        <w:numPr>
          <w:ilvl w:val="0"/>
          <w:numId w:val="4"/>
        </w:numPr>
        <w:tabs>
          <w:tab w:val="num" w:pos="814"/>
        </w:tabs>
        <w:spacing w:before="120" w:after="0" w:line="240" w:lineRule="auto"/>
        <w:ind w:left="811" w:hanging="454"/>
        <w:jc w:val="both"/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eastAsia="Times New Roman" w:hAnsi="Arial" w:cs="Arial"/>
          <w:color w:val="000000"/>
          <w:lang w:eastAsia="en-AU"/>
        </w:rPr>
        <w:t>t</w:t>
      </w:r>
      <w:r w:rsidRPr="00DE5594">
        <w:rPr>
          <w:rFonts w:ascii="Arial" w:eastAsia="Times New Roman" w:hAnsi="Arial" w:cs="Arial"/>
          <w:color w:val="000000"/>
          <w:lang w:eastAsia="en-AU"/>
        </w:rPr>
        <w:t>he</w:t>
      </w:r>
      <w:r>
        <w:rPr>
          <w:rFonts w:ascii="Arial" w:eastAsia="Times New Roman" w:hAnsi="Arial" w:cs="Arial"/>
          <w:i/>
          <w:color w:val="000000"/>
          <w:lang w:eastAsia="en-AU"/>
        </w:rPr>
        <w:t xml:space="preserve"> </w:t>
      </w:r>
      <w:r w:rsidRPr="00DE058A">
        <w:rPr>
          <w:rFonts w:ascii="Arial" w:eastAsia="Times New Roman" w:hAnsi="Arial" w:cs="Arial"/>
          <w:i/>
          <w:color w:val="000000"/>
          <w:lang w:eastAsia="en-AU"/>
        </w:rPr>
        <w:t>Hospital and Health Boards Act 2011</w:t>
      </w:r>
      <w:r>
        <w:rPr>
          <w:rFonts w:ascii="Arial" w:eastAsia="Times New Roman" w:hAnsi="Arial" w:cs="Arial"/>
          <w:color w:val="000000"/>
          <w:lang w:eastAsia="en-AU"/>
        </w:rPr>
        <w:t xml:space="preserve"> to </w:t>
      </w:r>
      <w:r w:rsidRPr="00DE058A">
        <w:rPr>
          <w:rFonts w:ascii="Arial" w:eastAsia="Times New Roman" w:hAnsi="Arial" w:cs="Arial"/>
          <w:color w:val="000000"/>
          <w:lang w:eastAsia="en-AU"/>
        </w:rPr>
        <w:t>facilitate general practitioners having access to the Queensland Health database, the Viewer; and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DE058A">
        <w:rPr>
          <w:rFonts w:ascii="Arial" w:eastAsia="Times New Roman" w:hAnsi="Arial" w:cs="Arial"/>
          <w:color w:val="000000"/>
          <w:lang w:eastAsia="en-AU"/>
        </w:rPr>
        <w:t>enable more efficient disclosure of confidential patient in</w:t>
      </w:r>
      <w:r>
        <w:rPr>
          <w:rFonts w:ascii="Arial" w:eastAsia="Times New Roman" w:hAnsi="Arial" w:cs="Arial"/>
          <w:color w:val="000000"/>
          <w:lang w:eastAsia="en-AU"/>
        </w:rPr>
        <w:t>formation for research purposes;</w:t>
      </w:r>
      <w:r w:rsidRPr="00DE058A">
        <w:rPr>
          <w:rFonts w:ascii="Arial" w:eastAsia="Times New Roman" w:hAnsi="Arial" w:cs="Arial"/>
          <w:color w:val="000000"/>
          <w:lang w:eastAsia="en-AU"/>
        </w:rPr>
        <w:t xml:space="preserve"> </w:t>
      </w:r>
    </w:p>
    <w:p w:rsidR="00C45EFB" w:rsidRPr="00DE058A" w:rsidRDefault="00C45EFB" w:rsidP="00C45EFB">
      <w:pPr>
        <w:numPr>
          <w:ilvl w:val="0"/>
          <w:numId w:val="4"/>
        </w:numPr>
        <w:tabs>
          <w:tab w:val="num" w:pos="814"/>
        </w:tabs>
        <w:spacing w:before="120" w:after="0" w:line="240" w:lineRule="auto"/>
        <w:ind w:left="811" w:hanging="454"/>
        <w:jc w:val="both"/>
        <w:rPr>
          <w:rFonts w:ascii="Arial" w:eastAsia="Times New Roman" w:hAnsi="Arial" w:cs="Arial"/>
          <w:color w:val="000000"/>
          <w:lang w:eastAsia="en-AU"/>
        </w:rPr>
      </w:pPr>
      <w:r w:rsidRPr="00DE5594">
        <w:rPr>
          <w:rFonts w:ascii="Arial" w:eastAsia="Times New Roman" w:hAnsi="Arial" w:cs="Arial"/>
          <w:color w:val="000000"/>
          <w:lang w:eastAsia="en-AU"/>
        </w:rPr>
        <w:t>the</w:t>
      </w:r>
      <w:r>
        <w:rPr>
          <w:rFonts w:ascii="Arial" w:eastAsia="Times New Roman" w:hAnsi="Arial" w:cs="Arial"/>
          <w:i/>
          <w:color w:val="000000"/>
          <w:lang w:eastAsia="en-AU"/>
        </w:rPr>
        <w:t xml:space="preserve"> </w:t>
      </w:r>
      <w:r w:rsidRPr="00DE058A">
        <w:rPr>
          <w:rFonts w:ascii="Arial" w:eastAsia="Times New Roman" w:hAnsi="Arial" w:cs="Arial"/>
          <w:i/>
          <w:color w:val="000000"/>
          <w:lang w:eastAsia="en-AU"/>
        </w:rPr>
        <w:t>Public Health Act 2005</w:t>
      </w:r>
      <w:r w:rsidRPr="00DE058A">
        <w:rPr>
          <w:rFonts w:ascii="Arial" w:eastAsia="Times New Roman" w:hAnsi="Arial" w:cs="Arial"/>
          <w:color w:val="000000"/>
          <w:lang w:eastAsia="en-AU"/>
        </w:rPr>
        <w:t xml:space="preserve"> </w:t>
      </w:r>
      <w:r>
        <w:rPr>
          <w:rFonts w:ascii="Arial" w:eastAsia="Times New Roman" w:hAnsi="Arial" w:cs="Arial"/>
          <w:color w:val="000000"/>
          <w:lang w:eastAsia="en-AU"/>
        </w:rPr>
        <w:t xml:space="preserve">to </w:t>
      </w:r>
      <w:r w:rsidRPr="00DE058A">
        <w:rPr>
          <w:rFonts w:ascii="Arial" w:eastAsia="Times New Roman" w:hAnsi="Arial" w:cs="Arial"/>
          <w:color w:val="000000"/>
          <w:lang w:eastAsia="en-AU"/>
        </w:rPr>
        <w:t>allow health information relating to deceased patients to be disclosed for research purposes</w:t>
      </w:r>
      <w:r>
        <w:rPr>
          <w:rFonts w:ascii="Arial" w:eastAsia="Times New Roman" w:hAnsi="Arial" w:cs="Arial"/>
          <w:color w:val="000000"/>
          <w:lang w:eastAsia="en-AU"/>
        </w:rPr>
        <w:t xml:space="preserve">; </w:t>
      </w:r>
      <w:r w:rsidRPr="00DE058A">
        <w:rPr>
          <w:rFonts w:ascii="Arial" w:eastAsia="Times New Roman" w:hAnsi="Arial" w:cs="Arial"/>
          <w:color w:val="000000"/>
          <w:lang w:eastAsia="en-AU"/>
        </w:rPr>
        <w:t>enable schools to share student information with school immunisation and oral health service providers to improve the uptake of the School Immunisation Program and School Dental Program; and</w:t>
      </w:r>
      <w:r>
        <w:rPr>
          <w:rFonts w:ascii="Arial" w:eastAsia="Times New Roman" w:hAnsi="Arial" w:cs="Arial"/>
          <w:color w:val="000000"/>
          <w:lang w:eastAsia="en-AU"/>
        </w:rPr>
        <w:t xml:space="preserve"> </w:t>
      </w:r>
      <w:r w:rsidRPr="00DE058A">
        <w:rPr>
          <w:rFonts w:ascii="Arial" w:eastAsia="Times New Roman" w:hAnsi="Arial" w:cs="Arial"/>
          <w:color w:val="000000"/>
          <w:lang w:eastAsia="en-AU"/>
        </w:rPr>
        <w:t>make consequential amendments to reflect changes to the Australian Ch</w:t>
      </w:r>
      <w:r w:rsidR="00BF108C">
        <w:rPr>
          <w:rFonts w:ascii="Arial" w:eastAsia="Times New Roman" w:hAnsi="Arial" w:cs="Arial"/>
          <w:color w:val="000000"/>
          <w:lang w:eastAsia="en-AU"/>
        </w:rPr>
        <w:t>ildhood Immunisation Register; and</w:t>
      </w:r>
    </w:p>
    <w:p w:rsidR="00C45EFB" w:rsidRPr="00DE058A" w:rsidRDefault="00C45EFB" w:rsidP="00C45EFB">
      <w:pPr>
        <w:numPr>
          <w:ilvl w:val="0"/>
          <w:numId w:val="4"/>
        </w:numPr>
        <w:tabs>
          <w:tab w:val="num" w:pos="814"/>
        </w:tabs>
        <w:spacing w:before="120" w:after="0" w:line="240" w:lineRule="auto"/>
        <w:ind w:left="811" w:hanging="454"/>
        <w:jc w:val="both"/>
        <w:rPr>
          <w:rFonts w:ascii="Arial" w:eastAsia="Times New Roman" w:hAnsi="Arial" w:cs="Arial"/>
          <w:color w:val="000000"/>
          <w:lang w:eastAsia="en-AU"/>
        </w:rPr>
      </w:pPr>
      <w:r w:rsidRPr="00DE5594">
        <w:rPr>
          <w:rFonts w:ascii="Arial" w:eastAsia="Times New Roman" w:hAnsi="Arial" w:cs="Arial"/>
          <w:color w:val="000000"/>
          <w:lang w:eastAsia="en-AU"/>
        </w:rPr>
        <w:t>the</w:t>
      </w:r>
      <w:r>
        <w:rPr>
          <w:rFonts w:ascii="Arial" w:eastAsia="Times New Roman" w:hAnsi="Arial" w:cs="Arial"/>
          <w:i/>
          <w:color w:val="000000"/>
          <w:lang w:eastAsia="en-AU"/>
        </w:rPr>
        <w:t xml:space="preserve"> </w:t>
      </w:r>
      <w:r w:rsidRPr="00DE058A">
        <w:rPr>
          <w:rFonts w:ascii="Arial" w:eastAsia="Times New Roman" w:hAnsi="Arial" w:cs="Arial"/>
          <w:i/>
          <w:color w:val="000000"/>
          <w:lang w:eastAsia="en-AU"/>
        </w:rPr>
        <w:t xml:space="preserve">Queensland Institute of Medical Research Act 1945 </w:t>
      </w:r>
      <w:r w:rsidRPr="00DE058A">
        <w:rPr>
          <w:rFonts w:ascii="Arial" w:eastAsia="Times New Roman" w:hAnsi="Arial" w:cs="Arial"/>
          <w:color w:val="000000"/>
          <w:lang w:eastAsia="en-AU"/>
        </w:rPr>
        <w:t>to facilitate the payment of bonuses to successful discoverers or inventors</w:t>
      </w:r>
      <w:r w:rsidR="00BF108C">
        <w:rPr>
          <w:rFonts w:ascii="Arial" w:eastAsia="Times New Roman" w:hAnsi="Arial" w:cs="Arial"/>
          <w:color w:val="000000"/>
          <w:lang w:eastAsia="en-AU"/>
        </w:rPr>
        <w:t>.</w:t>
      </w:r>
    </w:p>
    <w:p w:rsidR="00C45EFB" w:rsidRDefault="00C45EFB" w:rsidP="00C45EF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460050">
        <w:rPr>
          <w:rFonts w:ascii="Arial" w:hAnsi="Arial" w:cs="Arial"/>
          <w:bCs/>
          <w:spacing w:val="-3"/>
        </w:rPr>
        <w:t>The Bill also amends the Criminal Code to standardise the age of consent for sexual intercourse</w:t>
      </w:r>
      <w:r w:rsidR="00CB30CF" w:rsidRPr="00460050">
        <w:rPr>
          <w:rFonts w:ascii="Arial" w:hAnsi="Arial" w:cs="Arial"/>
          <w:bCs/>
          <w:spacing w:val="-3"/>
        </w:rPr>
        <w:t xml:space="preserve">, replace </w:t>
      </w:r>
      <w:r w:rsidR="00CB30CF" w:rsidRPr="0015634E">
        <w:rPr>
          <w:rFonts w:ascii="Arial" w:hAnsi="Arial" w:cs="Arial"/>
          <w:bCs/>
          <w:spacing w:val="-3"/>
        </w:rPr>
        <w:t>references to sodomy with anal intercourse</w:t>
      </w:r>
      <w:r w:rsidR="007D2A4E">
        <w:rPr>
          <w:rFonts w:ascii="Arial" w:hAnsi="Arial" w:cs="Arial"/>
          <w:bCs/>
          <w:spacing w:val="-3"/>
        </w:rPr>
        <w:t>,</w:t>
      </w:r>
      <w:r w:rsidRPr="0015634E">
        <w:rPr>
          <w:rFonts w:ascii="Arial" w:hAnsi="Arial" w:cs="Arial"/>
          <w:bCs/>
          <w:spacing w:val="-3"/>
        </w:rPr>
        <w:t xml:space="preserve"> and </w:t>
      </w:r>
      <w:r w:rsidR="00CB30CF" w:rsidRPr="0015634E">
        <w:rPr>
          <w:rFonts w:ascii="Arial" w:hAnsi="Arial" w:cs="Arial"/>
          <w:bCs/>
          <w:spacing w:val="-3"/>
        </w:rPr>
        <w:t>make</w:t>
      </w:r>
      <w:r w:rsidRPr="0015634E">
        <w:rPr>
          <w:rFonts w:ascii="Arial" w:hAnsi="Arial" w:cs="Arial"/>
          <w:bCs/>
          <w:spacing w:val="-3"/>
        </w:rPr>
        <w:t xml:space="preserve"> necessary consequential amendments to support this change.</w:t>
      </w:r>
      <w:r>
        <w:rPr>
          <w:rFonts w:ascii="Arial" w:hAnsi="Arial" w:cs="Arial"/>
          <w:bCs/>
          <w:spacing w:val="-3"/>
        </w:rPr>
        <w:t xml:space="preserve"> </w:t>
      </w:r>
    </w:p>
    <w:p w:rsidR="00C45EFB" w:rsidRDefault="00C45EFB" w:rsidP="00C45EFB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8F44CD">
        <w:rPr>
          <w:rFonts w:ascii="Arial" w:hAnsi="Arial" w:cs="Arial"/>
          <w:u w:val="single"/>
        </w:rPr>
        <w:t>Cabinet approved</w:t>
      </w:r>
      <w:r>
        <w:rPr>
          <w:rFonts w:ascii="Arial" w:hAnsi="Arial" w:cs="Arial"/>
        </w:rPr>
        <w:t xml:space="preserve"> the introduction of the </w:t>
      </w:r>
      <w:r w:rsidR="00186F40">
        <w:rPr>
          <w:rFonts w:ascii="Arial" w:hAnsi="Arial" w:cs="Arial"/>
        </w:rPr>
        <w:t xml:space="preserve">Health and Other Legislation Amendment </w:t>
      </w:r>
      <w:r>
        <w:rPr>
          <w:rFonts w:ascii="Arial" w:hAnsi="Arial" w:cs="Arial"/>
        </w:rPr>
        <w:t xml:space="preserve">Bill </w:t>
      </w:r>
      <w:r w:rsidR="00186F40"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>into the Legislative Assembly.</w:t>
      </w:r>
    </w:p>
    <w:p w:rsidR="00C45EFB" w:rsidRPr="00DE058A" w:rsidRDefault="00C45EFB" w:rsidP="007D2A4E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186F40">
        <w:rPr>
          <w:rFonts w:ascii="Arial" w:hAnsi="Arial" w:cs="Arial"/>
          <w:i/>
          <w:u w:val="single"/>
        </w:rPr>
        <w:t>Attachments</w:t>
      </w:r>
    </w:p>
    <w:p w:rsidR="00C45EFB" w:rsidRPr="004E57FB" w:rsidRDefault="005A684A" w:rsidP="00C45EFB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hAnsi="Arial" w:cs="Arial"/>
        </w:rPr>
      </w:pPr>
      <w:hyperlink r:id="rId7" w:history="1">
        <w:r w:rsidR="00C45EFB" w:rsidRPr="00156333">
          <w:rPr>
            <w:rStyle w:val="Hyperlink"/>
            <w:rFonts w:ascii="Arial" w:hAnsi="Arial" w:cs="Arial"/>
            <w:bCs/>
            <w:spacing w:val="-3"/>
          </w:rPr>
          <w:t>Health and Other Legislation Amendment Bill 2016</w:t>
        </w:r>
      </w:hyperlink>
    </w:p>
    <w:p w:rsidR="00407D32" w:rsidRPr="004B450E" w:rsidRDefault="005A684A" w:rsidP="004B450E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hAnsi="Arial" w:cs="Arial"/>
        </w:rPr>
      </w:pPr>
      <w:hyperlink r:id="rId8" w:history="1">
        <w:r w:rsidR="007D2A4E" w:rsidRPr="00156333">
          <w:rPr>
            <w:rStyle w:val="Hyperlink"/>
            <w:rFonts w:ascii="Arial" w:hAnsi="Arial" w:cs="Arial"/>
          </w:rPr>
          <w:t>Explanatory Notes</w:t>
        </w:r>
      </w:hyperlink>
    </w:p>
    <w:sectPr w:rsidR="00407D32" w:rsidRPr="004B450E" w:rsidSect="004B450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5A" w:rsidRDefault="0017135A" w:rsidP="00D80749">
      <w:pPr>
        <w:spacing w:after="0" w:line="240" w:lineRule="auto"/>
      </w:pPr>
      <w:r>
        <w:separator/>
      </w:r>
    </w:p>
  </w:endnote>
  <w:endnote w:type="continuationSeparator" w:id="0">
    <w:p w:rsidR="0017135A" w:rsidRDefault="0017135A" w:rsidP="00D8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5A" w:rsidRDefault="0017135A" w:rsidP="00D80749">
      <w:pPr>
        <w:spacing w:after="0" w:line="240" w:lineRule="auto"/>
      </w:pPr>
      <w:r>
        <w:separator/>
      </w:r>
    </w:p>
  </w:footnote>
  <w:footnote w:type="continuationSeparator" w:id="0">
    <w:p w:rsidR="0017135A" w:rsidRDefault="0017135A" w:rsidP="00D8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8A" w:rsidRPr="00D75134" w:rsidRDefault="00DE058A" w:rsidP="00DE05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E058A" w:rsidRPr="00D75134" w:rsidRDefault="00DE058A" w:rsidP="00DE05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E058A" w:rsidRPr="001E209B" w:rsidRDefault="00DE058A" w:rsidP="00DE05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2016</w:t>
    </w:r>
  </w:p>
  <w:p w:rsidR="00DE058A" w:rsidRDefault="00DE058A" w:rsidP="00DE05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Health and Other Legislation Amendment Bill 2016</w:t>
    </w:r>
  </w:p>
  <w:p w:rsidR="00DE058A" w:rsidRDefault="00DE058A" w:rsidP="00DE05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407D32" w:rsidRDefault="00407D32" w:rsidP="007D2A4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050"/>
    <w:multiLevelType w:val="hybridMultilevel"/>
    <w:tmpl w:val="D5606722"/>
    <w:lvl w:ilvl="0" w:tplc="284C5C90">
      <w:numFmt w:val="bullet"/>
      <w:lvlText w:val="-"/>
      <w:lvlJc w:val="left"/>
      <w:pPr>
        <w:ind w:left="1074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BBF790D"/>
    <w:multiLevelType w:val="hybridMultilevel"/>
    <w:tmpl w:val="5E009702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 w15:restartNumberingAfterBreak="0">
    <w:nsid w:val="430A15B2"/>
    <w:multiLevelType w:val="hybridMultilevel"/>
    <w:tmpl w:val="1B2CEA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A2"/>
    <w:rsid w:val="00025CDF"/>
    <w:rsid w:val="00156333"/>
    <w:rsid w:val="0015634E"/>
    <w:rsid w:val="0017135A"/>
    <w:rsid w:val="00186F40"/>
    <w:rsid w:val="001F700E"/>
    <w:rsid w:val="00200066"/>
    <w:rsid w:val="00232BD6"/>
    <w:rsid w:val="0028753F"/>
    <w:rsid w:val="0031698F"/>
    <w:rsid w:val="00363A81"/>
    <w:rsid w:val="00407D32"/>
    <w:rsid w:val="00447599"/>
    <w:rsid w:val="00460050"/>
    <w:rsid w:val="00480D36"/>
    <w:rsid w:val="004942E9"/>
    <w:rsid w:val="004B450E"/>
    <w:rsid w:val="004D465B"/>
    <w:rsid w:val="00510B4F"/>
    <w:rsid w:val="005A684A"/>
    <w:rsid w:val="005D7462"/>
    <w:rsid w:val="00671334"/>
    <w:rsid w:val="0068448A"/>
    <w:rsid w:val="006929D2"/>
    <w:rsid w:val="00702902"/>
    <w:rsid w:val="00752E88"/>
    <w:rsid w:val="007863A9"/>
    <w:rsid w:val="007878AC"/>
    <w:rsid w:val="007D2A4E"/>
    <w:rsid w:val="00907EC3"/>
    <w:rsid w:val="00957E05"/>
    <w:rsid w:val="009E2BCE"/>
    <w:rsid w:val="00A04F9C"/>
    <w:rsid w:val="00A470A1"/>
    <w:rsid w:val="00A61181"/>
    <w:rsid w:val="00A748A2"/>
    <w:rsid w:val="00AA6218"/>
    <w:rsid w:val="00AE2666"/>
    <w:rsid w:val="00BF108C"/>
    <w:rsid w:val="00C45EFB"/>
    <w:rsid w:val="00CB30CF"/>
    <w:rsid w:val="00CC2B7F"/>
    <w:rsid w:val="00D22F14"/>
    <w:rsid w:val="00D80749"/>
    <w:rsid w:val="00DE058A"/>
    <w:rsid w:val="00E16992"/>
    <w:rsid w:val="00EA55CB"/>
    <w:rsid w:val="00FD7C59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uiPriority w:val="99"/>
    <w:rsid w:val="00A748A2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807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074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1563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1291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1510</CharactersWithSpaces>
  <SharedDoc>false</SharedDoc>
  <HyperlinkBase>https://www.cabinet.qld.gov.au/documents/2016/Jun/HealthBill/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2017-03-29T06:56:00Z</cp:lastPrinted>
  <dcterms:created xsi:type="dcterms:W3CDTF">2017-10-25T01:49:00Z</dcterms:created>
  <dcterms:modified xsi:type="dcterms:W3CDTF">2018-03-06T01:36:00Z</dcterms:modified>
  <cp:category>Legislation,Health,Innovation,Crime,Medical</cp:category>
</cp:coreProperties>
</file>